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0DD24" w14:textId="37CDD833" w:rsidR="00D52BF3" w:rsidRPr="0049755C" w:rsidRDefault="00BB578B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BB578B">
        <w:rPr>
          <w:rFonts w:ascii="Arial" w:hAnsi="Arial" w:cs="Arial"/>
          <w:b/>
          <w:sz w:val="24"/>
          <w:lang w:val="en-GB"/>
        </w:rPr>
        <w:t>3GPP TSG-RAN WG2 NR Ad hoc 1801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E03787" w:rsidRPr="0049755C">
        <w:rPr>
          <w:rFonts w:ascii="Arial" w:hAnsi="Arial" w:cs="Arial"/>
          <w:b/>
          <w:sz w:val="24"/>
          <w:lang w:val="en-GB"/>
        </w:rPr>
        <w:tab/>
      </w:r>
      <w:r w:rsidR="0025740E">
        <w:rPr>
          <w:rFonts w:ascii="Arial" w:hAnsi="Arial" w:cs="Arial"/>
          <w:b/>
          <w:sz w:val="24"/>
          <w:lang w:val="en-GB"/>
        </w:rPr>
        <w:t>R2-1801216</w:t>
      </w:r>
    </w:p>
    <w:p w14:paraId="57673FA3" w14:textId="4DA967BB" w:rsidR="00616831" w:rsidRPr="0049755C" w:rsidRDefault="00BB578B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 w:rsidRPr="00BB578B">
        <w:rPr>
          <w:rFonts w:eastAsia="Malgun Gothic" w:cs="Arial"/>
          <w:sz w:val="24"/>
          <w:lang w:val="en-US" w:eastAsia="ko-KR"/>
        </w:rPr>
        <w:t>Vancouver, Canada, 22nd January – 26th January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B0F79D4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2CF57C2A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E03787" w:rsidRPr="00E03787">
        <w:rPr>
          <w:sz w:val="24"/>
        </w:rPr>
        <w:t>Support for intra-frequency dual connectivity in NR</w:t>
      </w:r>
      <w:r w:rsidR="009D3D65">
        <w:rPr>
          <w:rFonts w:cs="Arial"/>
          <w:b w:val="0"/>
          <w:bCs/>
          <w:sz w:val="32"/>
        </w:rPr>
        <w:t xml:space="preserve"> </w:t>
      </w:r>
    </w:p>
    <w:p w14:paraId="08AD6C06" w14:textId="1B79156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841233">
        <w:rPr>
          <w:bCs/>
          <w:iCs/>
          <w:sz w:val="24"/>
        </w:rPr>
        <w:t>2.7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D113D50" w14:textId="66E199C5" w:rsidR="008640DB" w:rsidRDefault="008640DB" w:rsidP="00D11AD9">
      <w:pPr>
        <w:rPr>
          <w:lang w:val="en-GB"/>
        </w:rPr>
      </w:pPr>
      <w:r>
        <w:rPr>
          <w:lang w:val="en-GB"/>
        </w:rPr>
        <w:t xml:space="preserve">In RAN2#96, it was discussed how to realize zero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UP interruption in NR and the following agreements were made:</w:t>
      </w:r>
    </w:p>
    <w:p w14:paraId="59863721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FDCA6D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mobility enhancement </w:t>
      </w:r>
      <w:proofErr w:type="gramStart"/>
      <w:r>
        <w:t>similar to</w:t>
      </w:r>
      <w:proofErr w:type="gramEnd"/>
      <w:r>
        <w:t xml:space="preserve"> that discussed for LTE (“Maintaining Source </w:t>
      </w:r>
      <w:proofErr w:type="spellStart"/>
      <w:r>
        <w:t>eNB</w:t>
      </w:r>
      <w:proofErr w:type="spellEnd"/>
      <w:r>
        <w:t xml:space="preserve"> connection during handover”) should be considered also for NR.</w:t>
      </w:r>
    </w:p>
    <w:p w14:paraId="1ECD3086" w14:textId="1D648099" w:rsidR="008640DB" w:rsidRDefault="008640DB" w:rsidP="00C26A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DC (NR-NR), study how to reconfigure the UE from an </w:t>
      </w:r>
      <w:proofErr w:type="spellStart"/>
      <w:r>
        <w:t>MeNB</w:t>
      </w:r>
      <w:proofErr w:type="spellEnd"/>
      <w:r>
        <w:t xml:space="preserve"> to an </w:t>
      </w:r>
      <w:proofErr w:type="spellStart"/>
      <w:r>
        <w:t>SeNB</w:t>
      </w:r>
      <w:proofErr w:type="spellEnd"/>
      <w:r>
        <w:t xml:space="preserve"> to target the 0 </w:t>
      </w:r>
      <w:proofErr w:type="spellStart"/>
      <w:r>
        <w:t>ms</w:t>
      </w:r>
      <w:proofErr w:type="spellEnd"/>
      <w:r>
        <w:t xml:space="preserve"> UP interruption. FFS wh</w:t>
      </w:r>
      <w:r w:rsidR="00C26A7D">
        <w:t>ether also applicable to LTE-NR</w:t>
      </w:r>
    </w:p>
    <w:p w14:paraId="658077D6" w14:textId="77777777" w:rsidR="0093628F" w:rsidRDefault="0093628F" w:rsidP="0093628F">
      <w:pPr>
        <w:spacing w:after="0"/>
        <w:rPr>
          <w:rFonts w:ascii="Calibri" w:eastAsia="Malgun Gothic" w:hAnsi="Calibri" w:cs="Batang"/>
          <w:szCs w:val="22"/>
          <w:lang w:val="en-GB" w:eastAsia="ko-KR"/>
        </w:rPr>
      </w:pPr>
    </w:p>
    <w:p w14:paraId="762C3A93" w14:textId="3CE52AAA" w:rsidR="001B07D0" w:rsidRDefault="00614A69" w:rsidP="00D11AD9">
      <w:pPr>
        <w:rPr>
          <w:rFonts w:ascii="Calibri" w:eastAsia="Malgun Gothic" w:hAnsi="Calibri" w:cs="Batang"/>
          <w:szCs w:val="22"/>
          <w:lang w:val="en-GB" w:eastAsia="ko-KR"/>
        </w:rPr>
      </w:pPr>
      <w:r>
        <w:rPr>
          <w:rFonts w:ascii="Calibri" w:eastAsia="Malgun Gothic" w:hAnsi="Calibri" w:cs="Batang"/>
          <w:szCs w:val="22"/>
          <w:lang w:val="en-GB" w:eastAsia="ko-KR"/>
        </w:rPr>
        <w:t xml:space="preserve">Additionally, it </w:t>
      </w:r>
      <w:r w:rsidR="001B07D0">
        <w:rPr>
          <w:rFonts w:ascii="Calibri" w:eastAsia="Malgun Gothic" w:hAnsi="Calibri" w:cs="Batang"/>
          <w:szCs w:val="22"/>
          <w:lang w:val="en-GB" w:eastAsia="ko-KR"/>
        </w:rPr>
        <w:t>was also agreed in RAN2#97 to allow possibility of intra-frequency dual connectivity/multi-connectivity:</w:t>
      </w:r>
    </w:p>
    <w:p w14:paraId="0C71DAEB" w14:textId="37779CE5" w:rsidR="001B07D0" w:rsidRPr="001B07D0" w:rsidRDefault="001B07D0" w:rsidP="001B07D0">
      <w:pPr>
        <w:pStyle w:val="Doc-text2"/>
      </w:pPr>
      <w:r>
        <w:t>=&gt;</w:t>
      </w:r>
      <w:r>
        <w:tab/>
        <w:t>RAN2 protocols for NR should be flexible to allow the possibility of intra-</w:t>
      </w:r>
      <w:proofErr w:type="spellStart"/>
      <w:r>
        <w:t>freq</w:t>
      </w:r>
      <w:proofErr w:type="spellEnd"/>
      <w:r>
        <w:t xml:space="preserve"> DC/</w:t>
      </w:r>
      <w:proofErr w:type="spellStart"/>
      <w:r>
        <w:t>multiconnectivity</w:t>
      </w:r>
      <w:proofErr w:type="spellEnd"/>
      <w:r>
        <w:t xml:space="preserve">. </w:t>
      </w:r>
    </w:p>
    <w:p w14:paraId="0C9677A7" w14:textId="77777777" w:rsidR="001B07D0" w:rsidRDefault="001B07D0" w:rsidP="00D11AD9">
      <w:pPr>
        <w:rPr>
          <w:rFonts w:ascii="Calibri" w:eastAsia="Malgun Gothic" w:hAnsi="Calibri" w:cs="Batang"/>
          <w:szCs w:val="22"/>
          <w:lang w:val="en-GB" w:eastAsia="ko-KR"/>
        </w:rPr>
      </w:pPr>
    </w:p>
    <w:p w14:paraId="67ABC387" w14:textId="3F3E10FA" w:rsidR="00BE2BF0" w:rsidRDefault="001B07D0" w:rsidP="00D11AD9">
      <w:pPr>
        <w:rPr>
          <w:lang w:val="en-GB"/>
        </w:rPr>
      </w:pPr>
      <w:r>
        <w:rPr>
          <w:rFonts w:ascii="Calibri" w:eastAsia="Malgun Gothic" w:hAnsi="Calibri" w:cs="Batang"/>
          <w:szCs w:val="22"/>
          <w:lang w:val="en-GB" w:eastAsia="ko-KR"/>
        </w:rPr>
        <w:t>Furthermore, based on LSs from RAN1 and RAN4, i</w:t>
      </w:r>
      <w:r w:rsidR="00E372EA" w:rsidRPr="00C26A7D">
        <w:rPr>
          <w:rFonts w:ascii="Calibri" w:eastAsia="Malgun Gothic" w:hAnsi="Calibri" w:cs="Batang"/>
          <w:szCs w:val="22"/>
          <w:lang w:val="en-GB" w:eastAsia="ko-KR"/>
        </w:rPr>
        <w:t>t is shown in [1] that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NR-NR dual connectivity</w:t>
      </w:r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is feasible to accomplish intra-frequency mobility with close to zero </w:t>
      </w:r>
      <w:proofErr w:type="spellStart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>ms</w:t>
      </w:r>
      <w:proofErr w:type="spellEnd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interruption. This contribution further elaborates on the motivation for enabling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</w:t>
      </w:r>
      <w:r w:rsidR="005745E3" w:rsidRPr="00C26A7D">
        <w:rPr>
          <w:rFonts w:ascii="Calibri" w:eastAsia="Malgun Gothic" w:hAnsi="Calibri" w:cs="Batang"/>
          <w:szCs w:val="22"/>
          <w:lang w:val="en-GB" w:eastAsia="ko-KR"/>
        </w:rPr>
        <w:t xml:space="preserve">intra-frequency </w:t>
      </w:r>
      <w:r>
        <w:rPr>
          <w:rFonts w:ascii="Calibri" w:eastAsia="Malgun Gothic" w:hAnsi="Calibri" w:cs="Batang"/>
          <w:szCs w:val="22"/>
          <w:lang w:val="en-GB" w:eastAsia="ko-KR"/>
        </w:rPr>
        <w:t>dual connectivity for NR</w:t>
      </w:r>
      <w:r w:rsidR="00E1663F" w:rsidRPr="00C26A7D">
        <w:rPr>
          <w:rFonts w:ascii="Calibri" w:eastAsia="Malgun Gothic" w:hAnsi="Calibri" w:cs="Batang"/>
          <w:szCs w:val="22"/>
          <w:lang w:val="en-GB" w:eastAsia="ko-KR"/>
        </w:rPr>
        <w:t xml:space="preserve"> by providing some use cases</w:t>
      </w:r>
      <w:r w:rsidR="00E83A3A">
        <w:rPr>
          <w:rFonts w:ascii="Calibri" w:eastAsia="Malgun Gothic" w:hAnsi="Calibri" w:cs="Batang"/>
          <w:szCs w:val="22"/>
          <w:lang w:val="en-GB" w:eastAsia="ko-KR"/>
        </w:rPr>
        <w:t xml:space="preserve"> and potential</w:t>
      </w:r>
      <w:r w:rsidR="00E77F83">
        <w:rPr>
          <w:rFonts w:ascii="Calibri" w:eastAsia="Malgun Gothic" w:hAnsi="Calibri" w:cs="Batang"/>
          <w:szCs w:val="22"/>
          <w:lang w:val="en-GB" w:eastAsia="ko-KR"/>
        </w:rPr>
        <w:t xml:space="preserve"> benefits of this feature</w:t>
      </w:r>
      <w:r w:rsidR="00E1663F">
        <w:rPr>
          <w:lang w:val="en-GB"/>
        </w:rPr>
        <w:t>.</w:t>
      </w:r>
    </w:p>
    <w:p w14:paraId="2D4BD9B2" w14:textId="77777777" w:rsidR="001B07D0" w:rsidRDefault="001B07D0" w:rsidP="00D11AD9">
      <w:pPr>
        <w:rPr>
          <w:lang w:val="en-GB"/>
        </w:rPr>
      </w:pPr>
    </w:p>
    <w:p w14:paraId="66EDBC53" w14:textId="06EB8002" w:rsidR="00BE2BF0" w:rsidRPr="005745E3" w:rsidRDefault="00F23797" w:rsidP="00BE2BF0">
      <w:pPr>
        <w:pStyle w:val="Heading1"/>
        <w:rPr>
          <w:rFonts w:eastAsia="Times New Roman"/>
        </w:rPr>
      </w:pPr>
      <w:r>
        <w:t>Intra-frequency DC for Mobility</w:t>
      </w:r>
    </w:p>
    <w:p w14:paraId="5DF40B23" w14:textId="2D9A31CA" w:rsidR="00C26A7D" w:rsidRDefault="00B92C1A" w:rsidP="00C26A7D">
      <w:r>
        <w:t xml:space="preserve">For NR, the </w:t>
      </w:r>
      <w:proofErr w:type="spellStart"/>
      <w:r>
        <w:t>gNB</w:t>
      </w:r>
      <w:proofErr w:type="spellEnd"/>
      <w:r>
        <w:t xml:space="preserve"> may be functionally split between a </w:t>
      </w:r>
      <w:proofErr w:type="spellStart"/>
      <w:r>
        <w:t>ce</w:t>
      </w:r>
      <w:r w:rsidR="005745E3" w:rsidRPr="00473B9E">
        <w:t>ntralised</w:t>
      </w:r>
      <w:proofErr w:type="spellEnd"/>
      <w:r w:rsidR="005745E3" w:rsidRPr="00473B9E">
        <w:t xml:space="preserve"> PDCP/RRC </w:t>
      </w:r>
      <w:r w:rsidR="005745E3">
        <w:t>(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CU) and </w:t>
      </w:r>
      <w:proofErr w:type="spellStart"/>
      <w:r w:rsidR="005745E3">
        <w:t>decentralised</w:t>
      </w:r>
      <w:proofErr w:type="spellEnd"/>
      <w:r w:rsidR="005745E3">
        <w:t xml:space="preserve"> RLC/MAC/PHY (</w:t>
      </w:r>
      <w:proofErr w:type="spellStart"/>
      <w:r w:rsidR="00E372EA">
        <w:t>gNB</w:t>
      </w:r>
      <w:proofErr w:type="spellEnd"/>
      <w:r w:rsidR="00E372EA">
        <w:t>-</w:t>
      </w:r>
      <w:r w:rsidR="005745E3">
        <w:t>DU). A new</w:t>
      </w:r>
      <w:r w:rsidR="00043272">
        <w:t xml:space="preserve"> F1</w:t>
      </w:r>
      <w:r w:rsidR="005745E3">
        <w:t xml:space="preserve"> </w:t>
      </w:r>
      <w:r>
        <w:t xml:space="preserve">interface </w:t>
      </w:r>
      <w:r w:rsidR="005745E3">
        <w:t xml:space="preserve">between 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 and </w:t>
      </w:r>
      <w:proofErr w:type="spellStart"/>
      <w:r w:rsidR="00E372EA">
        <w:t>gNB</w:t>
      </w:r>
      <w:proofErr w:type="spellEnd"/>
      <w:r w:rsidR="00E372EA">
        <w:t>-</w:t>
      </w:r>
      <w:r w:rsidR="005745E3">
        <w:t>DU</w:t>
      </w:r>
      <w:r w:rsidR="00DB5706">
        <w:t xml:space="preserve"> </w:t>
      </w:r>
      <w:r w:rsidR="00043272">
        <w:t xml:space="preserve">is </w:t>
      </w:r>
      <w:r>
        <w:t>specified by RAN3</w:t>
      </w:r>
      <w:r w:rsidR="005745E3">
        <w:t xml:space="preserve">. Figure 1 below shows an example architecture where a UE could be supported by beams from two </w:t>
      </w:r>
      <w:r w:rsidR="00374EB9">
        <w:t xml:space="preserve">different </w:t>
      </w:r>
      <w:r w:rsidR="00B52858">
        <w:t>DUs</w:t>
      </w:r>
      <w:r w:rsidR="005745E3">
        <w:t xml:space="preserve">. </w:t>
      </w:r>
    </w:p>
    <w:p w14:paraId="6CB56B23" w14:textId="3ECFEFBB" w:rsidR="0064482B" w:rsidRDefault="0064482B" w:rsidP="0064482B">
      <w:r>
        <w:t>At mmWave frequencies, the channel experienced by a UE may suffer from blockage events that could result in sudden sharp drops in signal strength (of the order of 30 dB) due to physical objects blocking the</w:t>
      </w:r>
      <w:r w:rsidR="00B8315C">
        <w:t xml:space="preserve"> UE-TRP link. It was shown in [2</w:t>
      </w:r>
      <w:r>
        <w:t>] b</w:t>
      </w:r>
      <w:r>
        <w:rPr>
          <w:rFonts w:ascii="Calibri" w:hAnsi="Calibri"/>
        </w:rPr>
        <w:t>ased on Blockage Model A (</w:t>
      </w:r>
      <w:proofErr w:type="spellStart"/>
      <w:r>
        <w:rPr>
          <w:rFonts w:ascii="Calibri" w:hAnsi="Calibri"/>
        </w:rPr>
        <w:t>UMi</w:t>
      </w:r>
      <w:proofErr w:type="spellEnd"/>
      <w:r>
        <w:rPr>
          <w:rFonts w:ascii="Calibri" w:hAnsi="Calibri"/>
        </w:rPr>
        <w:t>) described in the NR channel model TR 38.900, that for a 30 km/</w:t>
      </w:r>
      <w:proofErr w:type="spellStart"/>
      <w:r>
        <w:rPr>
          <w:rFonts w:ascii="Calibri" w:hAnsi="Calibri"/>
        </w:rPr>
        <w:t>hr</w:t>
      </w:r>
      <w:proofErr w:type="spellEnd"/>
      <w:r>
        <w:rPr>
          <w:rFonts w:ascii="Calibri" w:hAnsi="Calibri"/>
        </w:rPr>
        <w:t xml:space="preserve"> blocker velocity, the mean blockage duration of a single blockage event is 600 </w:t>
      </w:r>
      <w:proofErr w:type="spellStart"/>
      <w:r>
        <w:rPr>
          <w:rFonts w:ascii="Calibri" w:hAnsi="Calibri"/>
        </w:rPr>
        <w:t>ms.</w:t>
      </w:r>
      <w:proofErr w:type="spellEnd"/>
      <w:r w:rsidRPr="0064482B">
        <w:t xml:space="preserve"> </w:t>
      </w:r>
      <w:r w:rsidR="00B8315C">
        <w:t>It was also shown in [2</w:t>
      </w:r>
      <w:r>
        <w:t>] that when a UE could be served by beams from 3 TRPs, the mean duration between inter-TRP beam switches could be about 2.56 seconds. These estimates indicate that a UE could potentially experience frequent beam failure events due to blockage, potentially resulting in frequent beam switches.</w:t>
      </w:r>
    </w:p>
    <w:p w14:paraId="04CAC3DC" w14:textId="267810BB" w:rsidR="005745E3" w:rsidRDefault="00EF403E" w:rsidP="0064482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w:lastRenderedPageBreak/>
        <w:drawing>
          <wp:inline distT="0" distB="0" distL="0" distR="0" wp14:anchorId="4823C2BE" wp14:editId="4040F0CA">
            <wp:extent cx="3306868" cy="255796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575" cy="2563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482B">
        <w:rPr>
          <w:rFonts w:ascii="Calibri" w:hAnsi="Calibri"/>
        </w:rPr>
        <w:t>.</w:t>
      </w:r>
    </w:p>
    <w:p w14:paraId="71C875F5" w14:textId="43FE3AF8" w:rsidR="005745E3" w:rsidRDefault="005745E3" w:rsidP="005745E3">
      <w:pPr>
        <w:pStyle w:val="maintext"/>
        <w:ind w:firstLineChars="0" w:firstLine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Figure 1: </w:t>
      </w:r>
      <w:r w:rsidR="00884757">
        <w:rPr>
          <w:rFonts w:ascii="Calibri" w:hAnsi="Calibri"/>
        </w:rPr>
        <w:t xml:space="preserve">NR deployment based on </w:t>
      </w:r>
      <w:proofErr w:type="spellStart"/>
      <w:r w:rsidR="00884757">
        <w:rPr>
          <w:rFonts w:ascii="Calibri" w:hAnsi="Calibri"/>
        </w:rPr>
        <w:t>gNB</w:t>
      </w:r>
      <w:proofErr w:type="spellEnd"/>
      <w:r w:rsidR="00884757">
        <w:rPr>
          <w:rFonts w:ascii="Calibri" w:hAnsi="Calibri"/>
        </w:rPr>
        <w:t xml:space="preserve"> UP</w:t>
      </w:r>
      <w:r>
        <w:rPr>
          <w:rFonts w:ascii="Calibri" w:hAnsi="Calibri"/>
        </w:rPr>
        <w:t xml:space="preserve"> functional split</w:t>
      </w:r>
    </w:p>
    <w:p w14:paraId="5E2D3761" w14:textId="11FBDF76" w:rsidR="00EC4C97" w:rsidRDefault="00175C50" w:rsidP="00D21F62">
      <w:r>
        <w:t xml:space="preserve">For </w:t>
      </w:r>
      <w:r w:rsidR="00AA3049">
        <w:t>stationary or slow-moving UE</w:t>
      </w:r>
      <w:r>
        <w:t xml:space="preserve">s </w:t>
      </w:r>
      <w:r w:rsidR="00AA3049">
        <w:t>in a location served by beams from two TRPs belonging to two different DUs, such blockage events may result in frequent inter-DU mobility events</w:t>
      </w:r>
      <w:r w:rsidR="005F78B3">
        <w:t xml:space="preserve">. Mobility with close to zero </w:t>
      </w:r>
      <w:proofErr w:type="spellStart"/>
      <w:r w:rsidR="005F78B3">
        <w:t>ms</w:t>
      </w:r>
      <w:proofErr w:type="spellEnd"/>
      <w:r w:rsidR="005F78B3">
        <w:t xml:space="preserve"> interruption </w:t>
      </w:r>
      <w:r w:rsidR="00B52858">
        <w:t>would be desirable</w:t>
      </w:r>
      <w:r w:rsidR="00BD5423">
        <w:t xml:space="preserve"> to manage</w:t>
      </w:r>
      <w:r w:rsidR="00C26EEA">
        <w:t xml:space="preserve"> UP connectivity during</w:t>
      </w:r>
      <w:r w:rsidR="00BD5423">
        <w:t xml:space="preserve"> such frequent inter-DU mobility events. Intra-frequency DC could serve well to accomplish mobility with close to zero </w:t>
      </w:r>
      <w:proofErr w:type="spellStart"/>
      <w:r w:rsidR="00BD5423">
        <w:t>ms</w:t>
      </w:r>
      <w:proofErr w:type="spellEnd"/>
      <w:r w:rsidR="00BD5423">
        <w:t xml:space="preserve"> interruption in such use cases as described below:</w:t>
      </w:r>
    </w:p>
    <w:p w14:paraId="201601CA" w14:textId="52A9B5B8" w:rsidR="00D21F62" w:rsidRDefault="00D21F62" w:rsidP="00D21F62">
      <w:pPr>
        <w:pStyle w:val="ListParagraph"/>
        <w:numPr>
          <w:ilvl w:val="0"/>
          <w:numId w:val="38"/>
        </w:numPr>
      </w:pPr>
      <w:r>
        <w:t>Initially</w:t>
      </w:r>
      <w:r w:rsidR="00BD5423">
        <w:t xml:space="preserve"> upon identification of the target cell</w:t>
      </w:r>
      <w:r>
        <w:t xml:space="preserve">, </w:t>
      </w:r>
      <w:r w:rsidR="00B52858">
        <w:t xml:space="preserve">an </w:t>
      </w:r>
      <w:proofErr w:type="spellStart"/>
      <w:r w:rsidR="00B52858">
        <w:t>Se</w:t>
      </w:r>
      <w:r>
        <w:t>NB</w:t>
      </w:r>
      <w:proofErr w:type="spellEnd"/>
      <w:r>
        <w:t xml:space="preserve"> </w:t>
      </w:r>
      <w:r w:rsidR="00BD5423">
        <w:t xml:space="preserve">addition </w:t>
      </w:r>
      <w:r>
        <w:t xml:space="preserve">procedure may be used to enable DC with the target cell (DU2 in the </w:t>
      </w:r>
      <w:r w:rsidR="00BD5423">
        <w:t xml:space="preserve">above </w:t>
      </w:r>
      <w:r>
        <w:t>example).</w:t>
      </w:r>
    </w:p>
    <w:p w14:paraId="152826AB" w14:textId="008F5D7D" w:rsidR="00D21F62" w:rsidRDefault="00922DB8" w:rsidP="00D21F62">
      <w:pPr>
        <w:pStyle w:val="ListParagraph"/>
        <w:numPr>
          <w:ilvl w:val="0"/>
          <w:numId w:val="38"/>
        </w:numPr>
      </w:pPr>
      <w:r>
        <w:t xml:space="preserve">Once </w:t>
      </w:r>
      <w:r w:rsidR="00B52858">
        <w:t xml:space="preserve">DC is established between the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>
        <w:t>NB</w:t>
      </w:r>
      <w:proofErr w:type="spellEnd"/>
      <w:r>
        <w:t xml:space="preserve">, </w:t>
      </w:r>
      <w:r w:rsidR="00D21F62">
        <w:t>UP connectivity may be managed as follows:</w:t>
      </w:r>
    </w:p>
    <w:p w14:paraId="134D9793" w14:textId="77777777" w:rsidR="00F62D70" w:rsidRDefault="00F62D70" w:rsidP="00F62D70">
      <w:pPr>
        <w:pStyle w:val="ListParagraph"/>
        <w:numPr>
          <w:ilvl w:val="1"/>
          <w:numId w:val="38"/>
        </w:numPr>
      </w:pPr>
      <w:r>
        <w:t xml:space="preserve">Dynamically determining the amount of data flow via each DC leg by the flow control algorithm residing at the CU depending upon the quality for beams between </w:t>
      </w:r>
      <w:proofErr w:type="spellStart"/>
      <w:r>
        <w:t>MeNB</w:t>
      </w:r>
      <w:proofErr w:type="spellEnd"/>
      <w:r>
        <w:t xml:space="preserve"> and </w:t>
      </w:r>
      <w:proofErr w:type="spellStart"/>
      <w:r>
        <w:t>SeNB</w:t>
      </w:r>
      <w:proofErr w:type="spellEnd"/>
      <w:r>
        <w:t>.</w:t>
      </w:r>
    </w:p>
    <w:p w14:paraId="353CCDCA" w14:textId="4F1FF98B" w:rsidR="00EC4C97" w:rsidRDefault="00F62D70" w:rsidP="00EC4C97">
      <w:pPr>
        <w:pStyle w:val="ListParagraph"/>
        <w:numPr>
          <w:ilvl w:val="1"/>
          <w:numId w:val="38"/>
        </w:numPr>
      </w:pPr>
      <w:r>
        <w:t xml:space="preserve">When there is failure of all beam pair links from the </w:t>
      </w:r>
      <w:proofErr w:type="spellStart"/>
      <w:r>
        <w:t>MeNB</w:t>
      </w:r>
      <w:proofErr w:type="spellEnd"/>
      <w:r>
        <w:t xml:space="preserve"> or </w:t>
      </w:r>
      <w:proofErr w:type="spellStart"/>
      <w:r>
        <w:t>SeNB</w:t>
      </w:r>
      <w:proofErr w:type="spellEnd"/>
      <w:r>
        <w:t xml:space="preserve">, </w:t>
      </w:r>
      <w:r w:rsidR="00B52858">
        <w:t xml:space="preserve">data flow to </w:t>
      </w:r>
      <w:r>
        <w:t xml:space="preserve">the </w:t>
      </w:r>
      <w:proofErr w:type="spellStart"/>
      <w:r w:rsidR="00B52858">
        <w:t>Me</w:t>
      </w:r>
      <w:r w:rsidR="00EC4C97">
        <w:t>NB</w:t>
      </w:r>
      <w:proofErr w:type="spellEnd"/>
      <w:r>
        <w:t xml:space="preserve"> or </w:t>
      </w:r>
      <w:proofErr w:type="spellStart"/>
      <w:r w:rsidR="00B52858">
        <w:t>Se</w:t>
      </w:r>
      <w:r w:rsidR="00D21F62">
        <w:t>NB</w:t>
      </w:r>
      <w:proofErr w:type="spellEnd"/>
      <w:r w:rsidR="00EC4C97">
        <w:t xml:space="preserve"> </w:t>
      </w:r>
      <w:r>
        <w:t xml:space="preserve">may be suspended </w:t>
      </w:r>
      <w:r w:rsidR="00EC4C97">
        <w:t xml:space="preserve">until there </w:t>
      </w:r>
      <w:r w:rsidR="00175C50">
        <w:t>is restoration</w:t>
      </w:r>
      <w:r w:rsidR="00EC4C97">
        <w:t xml:space="preserve"> of beam </w:t>
      </w:r>
      <w:r>
        <w:t xml:space="preserve">quality </w:t>
      </w:r>
      <w:r w:rsidR="00E543B1">
        <w:t xml:space="preserve">on the failed leg </w:t>
      </w:r>
      <w:r>
        <w:t xml:space="preserve">(also </w:t>
      </w:r>
      <w:r w:rsidR="00EC4C97">
        <w:t>done via PDCP flow control mechanism).</w:t>
      </w:r>
    </w:p>
    <w:p w14:paraId="03CDFB14" w14:textId="6BF54E1D" w:rsidR="00F62D70" w:rsidRDefault="00F62D70" w:rsidP="00EC4C97">
      <w:pPr>
        <w:pStyle w:val="ListParagraph"/>
        <w:numPr>
          <w:ilvl w:val="1"/>
          <w:numId w:val="38"/>
        </w:numPr>
      </w:pPr>
      <w:r>
        <w:t xml:space="preserve">Upon such beam failure as described above, fast </w:t>
      </w:r>
      <w:r w:rsidR="00116964">
        <w:t xml:space="preserve">centralized </w:t>
      </w:r>
      <w:r>
        <w:t>retransmission</w:t>
      </w:r>
      <w:r w:rsidR="00116964">
        <w:t>s</w:t>
      </w:r>
      <w:r>
        <w:t xml:space="preserve"> of </w:t>
      </w:r>
      <w:r w:rsidR="00805945">
        <w:t>lost RLC PDUs [5</w:t>
      </w:r>
      <w:r w:rsidR="00116964">
        <w:t>] may be performed</w:t>
      </w:r>
      <w:r>
        <w:t xml:space="preserve"> via other DC leg to quickly recover from failed transmissions.</w:t>
      </w:r>
    </w:p>
    <w:p w14:paraId="4DAED23C" w14:textId="0E30C40A" w:rsidR="00EC4C97" w:rsidRDefault="003C7444" w:rsidP="00AA3049">
      <w:pPr>
        <w:pStyle w:val="ListParagraph"/>
        <w:numPr>
          <w:ilvl w:val="1"/>
          <w:numId w:val="38"/>
        </w:numPr>
      </w:pPr>
      <w:r>
        <w:t>If no beams from the</w:t>
      </w:r>
      <w:r w:rsidR="00636C9C">
        <w:t xml:space="preserve"> </w:t>
      </w:r>
      <w:proofErr w:type="spellStart"/>
      <w:r w:rsidR="00636C9C">
        <w:t>MeNB</w:t>
      </w:r>
      <w:proofErr w:type="spellEnd"/>
      <w:r w:rsidR="00636C9C">
        <w:t xml:space="preserve"> leg </w:t>
      </w:r>
      <w:r>
        <w:t>are capable of being restored, a</w:t>
      </w:r>
      <w:r w:rsidR="00B52858">
        <w:t xml:space="preserve"> role change between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 w:rsidR="00402754">
        <w:t>NB</w:t>
      </w:r>
      <w:proofErr w:type="spellEnd"/>
      <w:r w:rsidR="00402754">
        <w:t xml:space="preserve"> </w:t>
      </w:r>
      <w:r w:rsidR="00B8315C">
        <w:t>as proposed in [3</w:t>
      </w:r>
      <w:r w:rsidR="009F225B">
        <w:t>]</w:t>
      </w:r>
      <w:r>
        <w:t xml:space="preserve"> may be required</w:t>
      </w:r>
      <w:r w:rsidR="008E332B">
        <w:t xml:space="preserve">, followed by </w:t>
      </w:r>
      <w:proofErr w:type="spellStart"/>
      <w:r w:rsidR="008E332B">
        <w:t>Se</w:t>
      </w:r>
      <w:r w:rsidR="00EC4C97">
        <w:t>NB</w:t>
      </w:r>
      <w:proofErr w:type="spellEnd"/>
      <w:r w:rsidR="00EC4C97">
        <w:t xml:space="preserve"> release.</w:t>
      </w:r>
    </w:p>
    <w:p w14:paraId="63DD5F8B" w14:textId="77777777" w:rsidR="00BE0B73" w:rsidRDefault="00BE0B73" w:rsidP="008124BF"/>
    <w:p w14:paraId="08CD0A5F" w14:textId="7B3964CF" w:rsidR="00BE2BF0" w:rsidRPr="008124BF" w:rsidRDefault="008124BF" w:rsidP="008124BF">
      <w:r>
        <w:t xml:space="preserve">As highlighted above, </w:t>
      </w:r>
      <w:r w:rsidR="00EC4C97">
        <w:t>intra</w:t>
      </w:r>
      <w:r>
        <w:t xml:space="preserve">-frequency DC </w:t>
      </w:r>
      <w:r w:rsidR="00E543B1">
        <w:t xml:space="preserve">shows significant potential in many situations to reduce UP interruption time at mobility events. Thus, intra-frequency DC </w:t>
      </w:r>
      <w:r>
        <w:t xml:space="preserve">can be an effective way of </w:t>
      </w:r>
      <w:r w:rsidR="00E543B1">
        <w:t>enabling</w:t>
      </w:r>
      <w:r>
        <w:t xml:space="preserve"> mobility with close to zero </w:t>
      </w:r>
      <w:proofErr w:type="spellStart"/>
      <w:r>
        <w:t>ms</w:t>
      </w:r>
      <w:proofErr w:type="spellEnd"/>
      <w:r>
        <w:t xml:space="preserve"> interruption. </w:t>
      </w:r>
    </w:p>
    <w:p w14:paraId="3D139B6E" w14:textId="061BA37B" w:rsidR="00BE2BF0" w:rsidRDefault="00BE2BF0" w:rsidP="00BE2BF0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="008124BF">
        <w:rPr>
          <w:rFonts w:ascii="Calibri" w:hAnsi="Calibri"/>
          <w:b/>
        </w:rPr>
        <w:t>bservation 1</w:t>
      </w:r>
      <w:r>
        <w:rPr>
          <w:rFonts w:ascii="Calibri" w:hAnsi="Calibri"/>
          <w:b/>
        </w:rPr>
        <w:t xml:space="preserve">: </w:t>
      </w:r>
      <w:r w:rsidR="008124BF">
        <w:rPr>
          <w:rFonts w:ascii="Calibri" w:hAnsi="Calibri"/>
          <w:b/>
        </w:rPr>
        <w:t xml:space="preserve">Intra-frequency DC can be an </w:t>
      </w:r>
      <w:r w:rsidR="008124BF" w:rsidRPr="008124BF">
        <w:rPr>
          <w:rFonts w:ascii="Calibri" w:hAnsi="Calibri"/>
          <w:b/>
        </w:rPr>
        <w:t xml:space="preserve">effective means of </w:t>
      </w:r>
      <w:r w:rsidR="008124BF">
        <w:rPr>
          <w:rFonts w:ascii="Calibri" w:hAnsi="Calibri"/>
          <w:b/>
        </w:rPr>
        <w:t>enabling</w:t>
      </w:r>
      <w:r w:rsidR="00841386">
        <w:rPr>
          <w:rFonts w:ascii="Calibri" w:hAnsi="Calibri"/>
          <w:b/>
        </w:rPr>
        <w:t xml:space="preserve"> mobility with close to 0</w:t>
      </w:r>
      <w:r w:rsidR="008124BF" w:rsidRPr="008124BF">
        <w:rPr>
          <w:rFonts w:ascii="Calibri" w:hAnsi="Calibri"/>
          <w:b/>
        </w:rPr>
        <w:t xml:space="preserve"> </w:t>
      </w:r>
      <w:proofErr w:type="spellStart"/>
      <w:r w:rsidR="008124BF" w:rsidRPr="008124BF">
        <w:rPr>
          <w:rFonts w:ascii="Calibri" w:hAnsi="Calibri"/>
          <w:b/>
        </w:rPr>
        <w:t>ms</w:t>
      </w:r>
      <w:proofErr w:type="spellEnd"/>
      <w:r w:rsidR="008124BF"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4F202612" w14:textId="6CB7FA70" w:rsidR="00BE2BF0" w:rsidRDefault="00A50792" w:rsidP="00D11AD9">
      <w:pPr>
        <w:rPr>
          <w:lang w:val="en-GB"/>
        </w:rPr>
      </w:pPr>
      <w:r>
        <w:rPr>
          <w:lang w:val="en-GB"/>
        </w:rPr>
        <w:t>Various mobility e</w:t>
      </w:r>
      <w:r w:rsidR="008F028B">
        <w:rPr>
          <w:lang w:val="en-GB"/>
        </w:rPr>
        <w:t>nhancements have been proposed for NR to reduce user plane interruption time and improve handover reliability. These proposed enhancements include Make-Before-Break, RACH-less HO, Conditional Handover, Intra-Frequency DC, and some combinations of these enhancements. Many of these enhancements target either reduction of user plane interruption time or reliability improvement. As c</w:t>
      </w:r>
      <w:r w:rsidR="004B7B9D">
        <w:rPr>
          <w:lang w:val="en-GB"/>
        </w:rPr>
        <w:t>orrectly noted in [7], intra-f</w:t>
      </w:r>
      <w:r w:rsidR="002E53AE">
        <w:rPr>
          <w:lang w:val="en-GB"/>
        </w:rPr>
        <w:t xml:space="preserve">requency DC is the only proposed mobility enhancement so far that simultaneously </w:t>
      </w:r>
      <w:r w:rsidR="004B7B9D">
        <w:rPr>
          <w:lang w:val="en-GB"/>
        </w:rPr>
        <w:t xml:space="preserve">provides 0ms user plane interruption and reliability improvement. While there may be targeted reasons for why other </w:t>
      </w:r>
      <w:r w:rsidR="004B7B9D">
        <w:rPr>
          <w:lang w:val="en-GB"/>
        </w:rPr>
        <w:lastRenderedPageBreak/>
        <w:t>proposed mobility enhancements may be specified for NR, we believe that there is significant justification to at least specify intra-frequency DC as a mobility enhancement for NR to simultaneously provide the benefits of 0ms user plane interruption and reliability improvement.</w:t>
      </w:r>
      <w:bookmarkStart w:id="3" w:name="_GoBack"/>
      <w:bookmarkEnd w:id="3"/>
    </w:p>
    <w:p w14:paraId="690F811D" w14:textId="3EB8B324" w:rsidR="004B7B9D" w:rsidRPr="004B7B9D" w:rsidRDefault="004B7B9D" w:rsidP="00D11AD9">
      <w:pPr>
        <w:rPr>
          <w:b/>
          <w:lang w:val="en-GB"/>
        </w:rPr>
      </w:pPr>
      <w:r w:rsidRPr="004B7B9D">
        <w:rPr>
          <w:b/>
          <w:lang w:val="en-GB"/>
        </w:rPr>
        <w:t>Observation 2: Intra-frequency DC is the only mobility enhancement proposed for NR that simultaneously provides 0</w:t>
      </w:r>
      <w:r w:rsidR="00841386">
        <w:rPr>
          <w:b/>
          <w:lang w:val="en-GB"/>
        </w:rPr>
        <w:t xml:space="preserve"> </w:t>
      </w:r>
      <w:proofErr w:type="spellStart"/>
      <w:r w:rsidRPr="004B7B9D">
        <w:rPr>
          <w:b/>
          <w:lang w:val="en-GB"/>
        </w:rPr>
        <w:t>ms</w:t>
      </w:r>
      <w:proofErr w:type="spellEnd"/>
      <w:r w:rsidRPr="004B7B9D">
        <w:rPr>
          <w:b/>
          <w:lang w:val="en-GB"/>
        </w:rPr>
        <w:t xml:space="preserve"> user plane interruption and reliability improvement.</w:t>
      </w:r>
    </w:p>
    <w:p w14:paraId="59AE678F" w14:textId="5629DA41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RAN working groups are studying a feature called Integra</w:t>
      </w:r>
      <w:r w:rsidR="00701722">
        <w:rPr>
          <w:lang w:val="en-GB"/>
        </w:rPr>
        <w:t xml:space="preserve">ted Access and Backhaul </w:t>
      </w:r>
      <w:r w:rsidR="00CA3E7B">
        <w:rPr>
          <w:lang w:val="en-GB"/>
        </w:rPr>
        <w:t>(IAB) [</w:t>
      </w:r>
      <w:r w:rsidR="00B8315C">
        <w:rPr>
          <w:lang w:val="en-GB"/>
        </w:rPr>
        <w:t>4</w:t>
      </w:r>
      <w:r w:rsidRPr="00F13188">
        <w:rPr>
          <w:lang w:val="en-GB"/>
        </w:rPr>
        <w:t xml:space="preserve">] where NR nodes can be self-backhauled wirelessly to other NR nodes to facilitate easy deployment. For densely deployed mmWave NR systems, the area covered by an NR node can be quite small, so a dense deployment of NR nodes </w:t>
      </w:r>
      <w:proofErr w:type="gramStart"/>
      <w:r w:rsidRPr="00F13188">
        <w:rPr>
          <w:lang w:val="en-GB"/>
        </w:rPr>
        <w:t>in a given</w:t>
      </w:r>
      <w:proofErr w:type="gramEnd"/>
      <w:r w:rsidRPr="00F13188">
        <w:rPr>
          <w:lang w:val="en-GB"/>
        </w:rPr>
        <w:t xml:space="preserve"> area could require a significantly larger number of deployment sites. There is considerable interest in being able to deploy NR nodes without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every deployment site. Due to large available bandwidths in mmWave spectrum bands, and the ability to deploy narrow beams using multi-antenna element arrays, it may be more feasible to support self-backhauled links for NR systems operating in mmWave spectrum.</w:t>
      </w:r>
    </w:p>
    <w:p w14:paraId="123C9FE5" w14:textId="615B64CB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Figure 2 below shows an example scenario where IAB link (self-backhaul links) coul</w:t>
      </w:r>
      <w:r w:rsidR="00AF32DD">
        <w:rPr>
          <w:lang w:val="en-GB"/>
        </w:rPr>
        <w:t>d be used to connect DU3 and DU4</w:t>
      </w:r>
      <w:r w:rsidRPr="00F13188">
        <w:rPr>
          <w:lang w:val="en-GB"/>
        </w:rPr>
        <w:t xml:space="preserve"> to DU1, which has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th</w:t>
      </w:r>
      <w:r w:rsidR="00701722">
        <w:rPr>
          <w:lang w:val="en-GB"/>
        </w:rPr>
        <w:t>e CU</w:t>
      </w:r>
      <w:r w:rsidRPr="00F13188">
        <w:rPr>
          <w:lang w:val="en-GB"/>
        </w:rPr>
        <w:t>.</w:t>
      </w:r>
      <w:r w:rsidR="00701722">
        <w:rPr>
          <w:lang w:val="en-GB"/>
        </w:rPr>
        <w:t xml:space="preserve"> Note that here the CU-DU split is as described above in Section 2. In such a scenario, </w:t>
      </w:r>
      <w:r w:rsidR="00D4112D">
        <w:rPr>
          <w:lang w:val="en-GB"/>
        </w:rPr>
        <w:t>when</w:t>
      </w:r>
      <w:r w:rsidR="00AF32DD">
        <w:rPr>
          <w:lang w:val="en-GB"/>
        </w:rPr>
        <w:t xml:space="preserve"> the yellow highlighted UE moves from DU2 to DU3 to DU4</w:t>
      </w:r>
      <w:r w:rsidR="00D4112D">
        <w:rPr>
          <w:lang w:val="en-GB"/>
        </w:rPr>
        <w:t xml:space="preserve">, </w:t>
      </w:r>
      <w:r w:rsidR="00701722">
        <w:rPr>
          <w:lang w:val="en-GB"/>
        </w:rPr>
        <w:t xml:space="preserve">if </w:t>
      </w:r>
      <w:r w:rsidR="00D4112D">
        <w:rPr>
          <w:lang w:val="en-GB"/>
        </w:rPr>
        <w:t>intra-frequency dual connectivity or multi-connectivity</w:t>
      </w:r>
      <w:r w:rsidR="00AF32DD">
        <w:rPr>
          <w:lang w:val="en-GB"/>
        </w:rPr>
        <w:t xml:space="preserve"> is enabled</w:t>
      </w:r>
      <w:r w:rsidR="00D4112D">
        <w:rPr>
          <w:lang w:val="en-GB"/>
        </w:rPr>
        <w:t xml:space="preserve"> for the UE, it could significantly help in reduction of UP interruption time to achieve mobility with close to zero </w:t>
      </w:r>
      <w:proofErr w:type="spellStart"/>
      <w:r w:rsidR="00D4112D">
        <w:rPr>
          <w:lang w:val="en-GB"/>
        </w:rPr>
        <w:t>ms</w:t>
      </w:r>
      <w:proofErr w:type="spellEnd"/>
      <w:r w:rsidR="00D4112D">
        <w:rPr>
          <w:lang w:val="en-GB"/>
        </w:rPr>
        <w:t xml:space="preserve"> UP interruption.</w:t>
      </w:r>
    </w:p>
    <w:p w14:paraId="3645754A" w14:textId="0EDCD69A" w:rsidR="00F13188" w:rsidRDefault="00F13188" w:rsidP="00F13188">
      <w:pPr>
        <w:jc w:val="center"/>
        <w:rPr>
          <w:rFonts w:eastAsiaTheme="minorHAnsi" w:cs="Arial"/>
          <w:color w:val="000000" w:themeColor="text1"/>
        </w:rPr>
      </w:pPr>
      <w:r w:rsidRPr="00F13188">
        <w:rPr>
          <w:rFonts w:ascii="Calibri" w:hAnsi="Calibri" w:cs="Arial"/>
          <w:lang w:val="en-GB"/>
        </w:rPr>
        <w:t xml:space="preserve"> </w:t>
      </w:r>
      <w:r w:rsidR="00AF32DD">
        <w:rPr>
          <w:rFonts w:ascii="Calibri" w:hAnsi="Calibri" w:cs="Arial"/>
          <w:noProof/>
        </w:rPr>
        <w:drawing>
          <wp:inline distT="0" distB="0" distL="0" distR="0" wp14:anchorId="2873D1E9" wp14:editId="6D54D415">
            <wp:extent cx="4244318" cy="303659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063" cy="3047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B16A88" w14:textId="77777777" w:rsidR="00F13188" w:rsidRDefault="00F13188" w:rsidP="00F13188">
      <w:pPr>
        <w:jc w:val="center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Figure 2: Integrated Access and Backhaul Scenario</w:t>
      </w:r>
    </w:p>
    <w:p w14:paraId="3ACEC87E" w14:textId="5390DD2F" w:rsidR="00F13188" w:rsidRDefault="00591F47" w:rsidP="00F13188">
      <w:pPr>
        <w:spacing w:line="312" w:lineRule="auto"/>
        <w:rPr>
          <w:rFonts w:ascii="Calibri" w:hAnsi="Calibri" w:cs="Arial"/>
          <w:b/>
          <w:lang w:val="en-GB"/>
        </w:rPr>
      </w:pPr>
      <w:r>
        <w:rPr>
          <w:rFonts w:ascii="Calibri" w:hAnsi="Calibri" w:cs="Arial"/>
          <w:b/>
          <w:lang w:val="en-GB"/>
        </w:rPr>
        <w:t>Observation 3</w:t>
      </w:r>
      <w:r w:rsidR="00D4112D" w:rsidRPr="004303F8">
        <w:rPr>
          <w:rFonts w:ascii="Calibri" w:hAnsi="Calibri" w:cs="Arial"/>
          <w:b/>
          <w:lang w:val="en-GB"/>
        </w:rPr>
        <w:t xml:space="preserve">: </w:t>
      </w:r>
      <w:r w:rsidR="004303F8" w:rsidRPr="004303F8">
        <w:rPr>
          <w:rFonts w:ascii="Calibri" w:hAnsi="Calibri" w:cs="Arial"/>
          <w:b/>
          <w:lang w:val="en-GB"/>
        </w:rPr>
        <w:t xml:space="preserve">Intra-frequency DC also seems to have the potential to offer reduction in UP interruption time for </w:t>
      </w:r>
      <w:r w:rsidR="00D4112D" w:rsidRPr="004303F8">
        <w:rPr>
          <w:rFonts w:ascii="Calibri" w:hAnsi="Calibri" w:cs="Arial"/>
          <w:b/>
          <w:lang w:val="en-GB"/>
        </w:rPr>
        <w:t>future deployment scenarios such as integrated access and backhaul</w:t>
      </w:r>
      <w:r w:rsidR="004303F8" w:rsidRPr="004303F8">
        <w:rPr>
          <w:rFonts w:ascii="Calibri" w:hAnsi="Calibri" w:cs="Arial"/>
          <w:b/>
          <w:lang w:val="en-GB"/>
        </w:rPr>
        <w:t xml:space="preserve">. </w:t>
      </w:r>
    </w:p>
    <w:p w14:paraId="008EF72E" w14:textId="561D4796" w:rsidR="00680B0F" w:rsidRDefault="00680B0F" w:rsidP="00F1318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Additionally, it needs to be pointed out that intra-frequency DC can be helpful even in cases where the UE is </w:t>
      </w:r>
      <w:r w:rsidR="00041ACB">
        <w:rPr>
          <w:rFonts w:ascii="Calibri" w:hAnsi="Calibri" w:cs="Arial"/>
          <w:lang w:val="en-GB"/>
        </w:rPr>
        <w:t xml:space="preserve">incapable of simultaneously transmitting and receiving in the same frequency band. For such single </w:t>
      </w:r>
      <w:proofErr w:type="spellStart"/>
      <w:r w:rsidR="00041ACB">
        <w:rPr>
          <w:rFonts w:ascii="Calibri" w:hAnsi="Calibri" w:cs="Arial"/>
          <w:lang w:val="en-GB"/>
        </w:rPr>
        <w:t>Tx</w:t>
      </w:r>
      <w:proofErr w:type="spellEnd"/>
      <w:r w:rsidR="00041ACB">
        <w:rPr>
          <w:rFonts w:ascii="Calibri" w:hAnsi="Calibri" w:cs="Arial"/>
          <w:lang w:val="en-GB"/>
        </w:rPr>
        <w:t>/Rx capable UEs, intr</w:t>
      </w:r>
      <w:r w:rsidR="00984E2E">
        <w:rPr>
          <w:rFonts w:ascii="Calibri" w:hAnsi="Calibri" w:cs="Arial"/>
          <w:lang w:val="en-GB"/>
        </w:rPr>
        <w:t xml:space="preserve">a-frequency DC can </w:t>
      </w:r>
      <w:r w:rsidR="00041ACB">
        <w:rPr>
          <w:rFonts w:ascii="Calibri" w:hAnsi="Calibri" w:cs="Arial"/>
          <w:lang w:val="en-GB"/>
        </w:rPr>
        <w:t>be useful by leveraging a TDM pattern solution</w:t>
      </w:r>
      <w:r w:rsidR="00216F0E">
        <w:rPr>
          <w:rFonts w:ascii="Calibri" w:hAnsi="Calibri" w:cs="Arial"/>
          <w:lang w:val="en-GB"/>
        </w:rPr>
        <w:t xml:space="preserve"> </w:t>
      </w:r>
      <w:proofErr w:type="gramStart"/>
      <w:r w:rsidR="00216F0E">
        <w:rPr>
          <w:rFonts w:ascii="Calibri" w:hAnsi="Calibri" w:cs="Arial"/>
          <w:lang w:val="en-GB"/>
        </w:rPr>
        <w:t>similar to</w:t>
      </w:r>
      <w:proofErr w:type="gramEnd"/>
      <w:r w:rsidR="00216F0E">
        <w:rPr>
          <w:rFonts w:ascii="Calibri" w:hAnsi="Calibri" w:cs="Arial"/>
          <w:lang w:val="en-GB"/>
        </w:rPr>
        <w:t xml:space="preserve"> the one</w:t>
      </w:r>
      <w:r w:rsidR="00041ACB">
        <w:rPr>
          <w:rFonts w:ascii="Calibri" w:hAnsi="Calibri" w:cs="Arial"/>
          <w:lang w:val="en-GB"/>
        </w:rPr>
        <w:t xml:space="preserve"> currently designed for EN-DC</w:t>
      </w:r>
      <w:r w:rsidR="00805945">
        <w:rPr>
          <w:rFonts w:ascii="Calibri" w:hAnsi="Calibri" w:cs="Arial"/>
          <w:lang w:val="en-GB"/>
        </w:rPr>
        <w:t xml:space="preserve"> [6</w:t>
      </w:r>
      <w:r w:rsidR="00041ACB">
        <w:rPr>
          <w:rFonts w:ascii="Calibri" w:hAnsi="Calibri" w:cs="Arial"/>
          <w:lang w:val="en-GB"/>
        </w:rPr>
        <w:t xml:space="preserve">]. </w:t>
      </w:r>
    </w:p>
    <w:p w14:paraId="2AF1D7AC" w14:textId="2A028D40" w:rsidR="00570093" w:rsidRPr="00D378F2" w:rsidRDefault="00591F47" w:rsidP="00F13188">
      <w:pPr>
        <w:spacing w:line="312" w:lineRule="auto"/>
        <w:rPr>
          <w:rFonts w:ascii="Calibri" w:hAnsi="Calibri" w:cs="Arial"/>
          <w:b/>
          <w:lang w:val="en-GB"/>
        </w:rPr>
      </w:pPr>
      <w:r>
        <w:rPr>
          <w:rFonts w:ascii="Calibri" w:hAnsi="Calibri" w:cs="Arial"/>
          <w:b/>
          <w:lang w:val="en-GB"/>
        </w:rPr>
        <w:lastRenderedPageBreak/>
        <w:t>Observation 4</w:t>
      </w:r>
      <w:r w:rsidR="00570093" w:rsidRPr="00D378F2">
        <w:rPr>
          <w:rFonts w:ascii="Calibri" w:hAnsi="Calibri" w:cs="Arial"/>
          <w:b/>
          <w:lang w:val="en-GB"/>
        </w:rPr>
        <w:t xml:space="preserve">: Intra-frequency DC can also be helpful in cases </w:t>
      </w:r>
      <w:r w:rsidR="00D378F2" w:rsidRPr="00D378F2">
        <w:rPr>
          <w:rFonts w:ascii="Calibri" w:hAnsi="Calibri" w:cs="Arial"/>
          <w:b/>
          <w:lang w:val="en-GB"/>
        </w:rPr>
        <w:t xml:space="preserve">where the UE is capable of single </w:t>
      </w:r>
      <w:proofErr w:type="spellStart"/>
      <w:r w:rsidR="00D378F2" w:rsidRPr="00D378F2">
        <w:rPr>
          <w:rFonts w:ascii="Calibri" w:hAnsi="Calibri" w:cs="Arial"/>
          <w:b/>
          <w:lang w:val="en-GB"/>
        </w:rPr>
        <w:t>Tx</w:t>
      </w:r>
      <w:proofErr w:type="spellEnd"/>
      <w:r w:rsidR="00D378F2" w:rsidRPr="00D378F2">
        <w:rPr>
          <w:rFonts w:ascii="Calibri" w:hAnsi="Calibri" w:cs="Arial"/>
          <w:b/>
          <w:lang w:val="en-GB"/>
        </w:rPr>
        <w:t xml:space="preserve">/Rx by leveraging a similar TDM pattern solution as being designed for EN-DC. </w:t>
      </w:r>
    </w:p>
    <w:p w14:paraId="32E10A4B" w14:textId="008B34E0" w:rsidR="00D4112D" w:rsidRPr="00F13188" w:rsidRDefault="00D4112D" w:rsidP="00F1318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>In conclusion, based on significant potential benefits offered</w:t>
      </w:r>
      <w:r w:rsidR="00894E1B">
        <w:rPr>
          <w:rFonts w:ascii="Calibri" w:hAnsi="Calibri" w:cs="Arial"/>
          <w:lang w:val="en-GB"/>
        </w:rPr>
        <w:t xml:space="preserve"> by intra-frequency DC</w:t>
      </w:r>
      <w:r>
        <w:rPr>
          <w:rFonts w:ascii="Calibri" w:hAnsi="Calibri" w:cs="Arial"/>
          <w:lang w:val="en-GB"/>
        </w:rPr>
        <w:t>, we propose that NR should support intra-frequency DC.</w:t>
      </w:r>
    </w:p>
    <w:p w14:paraId="2B65F0F8" w14:textId="47B20315" w:rsidR="00A22287" w:rsidRDefault="00D4112D" w:rsidP="000C5F30">
      <w:pPr>
        <w:rPr>
          <w:b/>
          <w:lang w:val="en-GB"/>
        </w:rPr>
      </w:pPr>
      <w:r>
        <w:rPr>
          <w:b/>
          <w:lang w:val="en-GB"/>
        </w:rPr>
        <w:t>Proposal 1</w:t>
      </w:r>
      <w:r w:rsidR="00BA6439">
        <w:rPr>
          <w:b/>
          <w:lang w:val="en-GB"/>
        </w:rPr>
        <w:t xml:space="preserve">: </w:t>
      </w:r>
      <w:r>
        <w:rPr>
          <w:b/>
          <w:lang w:val="en-GB"/>
        </w:rPr>
        <w:t>NR should support intra-frequency dual connectivity</w:t>
      </w:r>
      <w:r w:rsidR="00A22287">
        <w:rPr>
          <w:b/>
          <w:lang w:val="en-GB"/>
        </w:rPr>
        <w:t xml:space="preserve">. </w:t>
      </w:r>
    </w:p>
    <w:p w14:paraId="35EB8D4A" w14:textId="77777777" w:rsidR="00CD7E91" w:rsidRDefault="00CD7E91" w:rsidP="000C5F30">
      <w:pPr>
        <w:rPr>
          <w:b/>
          <w:lang w:val="en-GB"/>
        </w:rPr>
      </w:pP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28166EE7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we </w:t>
      </w:r>
      <w:r w:rsidR="002B6ADF">
        <w:rPr>
          <w:lang w:val="en-GB"/>
        </w:rPr>
        <w:t>discuss</w:t>
      </w:r>
      <w:r>
        <w:rPr>
          <w:lang w:val="en-GB"/>
        </w:rPr>
        <w:t xml:space="preserve"> </w:t>
      </w:r>
      <w:r w:rsidR="00EC0809">
        <w:rPr>
          <w:lang w:val="en-GB"/>
        </w:rPr>
        <w:t xml:space="preserve">the potential for intra-frequency DC to enable mobility with zero </w:t>
      </w:r>
      <w:proofErr w:type="spellStart"/>
      <w:r w:rsidR="00EC0809">
        <w:rPr>
          <w:lang w:val="en-GB"/>
        </w:rPr>
        <w:t>ms</w:t>
      </w:r>
      <w:proofErr w:type="spellEnd"/>
      <w:r w:rsidR="00EC0809">
        <w:rPr>
          <w:lang w:val="en-GB"/>
        </w:rPr>
        <w:t xml:space="preserve"> UP interruption time</w:t>
      </w:r>
      <w:r>
        <w:rPr>
          <w:lang w:val="en-GB"/>
        </w:rPr>
        <w:t xml:space="preserve">. The following </w:t>
      </w:r>
      <w:r w:rsidR="00EF6701">
        <w:rPr>
          <w:lang w:val="en-GB"/>
        </w:rPr>
        <w:t xml:space="preserve">observations and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are offered for consideration</w:t>
      </w:r>
      <w:r w:rsidR="00EF3B5D">
        <w:rPr>
          <w:lang w:val="en-GB"/>
        </w:rPr>
        <w:t>:</w:t>
      </w:r>
    </w:p>
    <w:p w14:paraId="05F03B07" w14:textId="095B52FA" w:rsidR="00EC0809" w:rsidRDefault="00EC0809" w:rsidP="00EC0809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Observation 1: Intra-frequency DC can be an </w:t>
      </w:r>
      <w:r w:rsidRPr="008124BF">
        <w:rPr>
          <w:rFonts w:ascii="Calibri" w:hAnsi="Calibri"/>
          <w:b/>
        </w:rPr>
        <w:t xml:space="preserve">effective means of </w:t>
      </w:r>
      <w:r>
        <w:rPr>
          <w:rFonts w:ascii="Calibri" w:hAnsi="Calibri"/>
          <w:b/>
        </w:rPr>
        <w:t>enabling</w:t>
      </w:r>
      <w:r w:rsidRPr="008124BF">
        <w:rPr>
          <w:rFonts w:ascii="Calibri" w:hAnsi="Calibri"/>
          <w:b/>
        </w:rPr>
        <w:t xml:space="preserve"> mobility with close to</w:t>
      </w:r>
      <w:r w:rsidR="00590B51">
        <w:rPr>
          <w:rFonts w:ascii="Calibri" w:hAnsi="Calibri"/>
          <w:b/>
        </w:rPr>
        <w:t xml:space="preserve"> 0</w:t>
      </w:r>
      <w:r w:rsidRPr="008124BF">
        <w:rPr>
          <w:rFonts w:ascii="Calibri" w:hAnsi="Calibri"/>
          <w:b/>
        </w:rPr>
        <w:t xml:space="preserve"> </w:t>
      </w:r>
      <w:proofErr w:type="spellStart"/>
      <w:r w:rsidRPr="008124BF">
        <w:rPr>
          <w:rFonts w:ascii="Calibri" w:hAnsi="Calibri"/>
          <w:b/>
        </w:rPr>
        <w:t>ms</w:t>
      </w:r>
      <w:proofErr w:type="spellEnd"/>
      <w:r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7F1578D1" w14:textId="19BD800B" w:rsidR="00591F47" w:rsidRPr="004B7B9D" w:rsidRDefault="00591F47" w:rsidP="00591F47">
      <w:pPr>
        <w:rPr>
          <w:b/>
          <w:lang w:val="en-GB"/>
        </w:rPr>
      </w:pPr>
      <w:r w:rsidRPr="004B7B9D">
        <w:rPr>
          <w:b/>
          <w:lang w:val="en-GB"/>
        </w:rPr>
        <w:t>Observation 2: Intra-frequency DC is the only mobility enhancement proposed for NR that simultaneously provides 0</w:t>
      </w:r>
      <w:r w:rsidR="00590B51">
        <w:rPr>
          <w:b/>
          <w:lang w:val="en-GB"/>
        </w:rPr>
        <w:t xml:space="preserve"> </w:t>
      </w:r>
      <w:proofErr w:type="spellStart"/>
      <w:r w:rsidRPr="004B7B9D">
        <w:rPr>
          <w:b/>
          <w:lang w:val="en-GB"/>
        </w:rPr>
        <w:t>ms</w:t>
      </w:r>
      <w:proofErr w:type="spellEnd"/>
      <w:r w:rsidRPr="004B7B9D">
        <w:rPr>
          <w:b/>
          <w:lang w:val="en-GB"/>
        </w:rPr>
        <w:t xml:space="preserve"> user plane interruption and reliability improvement.</w:t>
      </w:r>
    </w:p>
    <w:p w14:paraId="6F1B0140" w14:textId="40D38594" w:rsidR="00EC0809" w:rsidRDefault="00591F47" w:rsidP="00EC0809">
      <w:pPr>
        <w:spacing w:line="312" w:lineRule="auto"/>
        <w:rPr>
          <w:rFonts w:ascii="Calibri" w:hAnsi="Calibri" w:cs="Arial"/>
          <w:b/>
          <w:lang w:val="en-GB"/>
        </w:rPr>
      </w:pPr>
      <w:r>
        <w:rPr>
          <w:rFonts w:ascii="Calibri" w:hAnsi="Calibri" w:cs="Arial"/>
          <w:b/>
          <w:lang w:val="en-GB"/>
        </w:rPr>
        <w:t>Observation 3</w:t>
      </w:r>
      <w:r w:rsidR="00EC0809" w:rsidRPr="004303F8">
        <w:rPr>
          <w:rFonts w:ascii="Calibri" w:hAnsi="Calibri" w:cs="Arial"/>
          <w:b/>
          <w:lang w:val="en-GB"/>
        </w:rPr>
        <w:t xml:space="preserve">: Intra-frequency DC also seems to have the potential to offer reduction in UP interruption time for future deployment scenarios such as integrated access and backhaul. </w:t>
      </w:r>
    </w:p>
    <w:p w14:paraId="63CDF5C4" w14:textId="77777777" w:rsidR="00591F47" w:rsidRPr="00D378F2" w:rsidRDefault="00591F47" w:rsidP="00591F47">
      <w:pPr>
        <w:spacing w:line="312" w:lineRule="auto"/>
        <w:rPr>
          <w:rFonts w:ascii="Calibri" w:hAnsi="Calibri" w:cs="Arial"/>
          <w:b/>
          <w:lang w:val="en-GB"/>
        </w:rPr>
      </w:pPr>
      <w:r>
        <w:rPr>
          <w:rFonts w:ascii="Calibri" w:hAnsi="Calibri" w:cs="Arial"/>
          <w:b/>
          <w:lang w:val="en-GB"/>
        </w:rPr>
        <w:t>Observation 4</w:t>
      </w:r>
      <w:r w:rsidRPr="00D378F2">
        <w:rPr>
          <w:rFonts w:ascii="Calibri" w:hAnsi="Calibri" w:cs="Arial"/>
          <w:b/>
          <w:lang w:val="en-GB"/>
        </w:rPr>
        <w:t xml:space="preserve">: Intra-frequency DC can also be helpful in cases where the UE is capable of single </w:t>
      </w:r>
      <w:proofErr w:type="spellStart"/>
      <w:r w:rsidRPr="00D378F2">
        <w:rPr>
          <w:rFonts w:ascii="Calibri" w:hAnsi="Calibri" w:cs="Arial"/>
          <w:b/>
          <w:lang w:val="en-GB"/>
        </w:rPr>
        <w:t>Tx</w:t>
      </w:r>
      <w:proofErr w:type="spellEnd"/>
      <w:r w:rsidRPr="00D378F2">
        <w:rPr>
          <w:rFonts w:ascii="Calibri" w:hAnsi="Calibri" w:cs="Arial"/>
          <w:b/>
          <w:lang w:val="en-GB"/>
        </w:rPr>
        <w:t xml:space="preserve">/Rx by leveraging a similar TDM pattern solution as being designed for EN-DC. </w:t>
      </w:r>
    </w:p>
    <w:p w14:paraId="5D1318F0" w14:textId="77777777" w:rsidR="00EC0809" w:rsidRDefault="00EC0809" w:rsidP="00EC0809">
      <w:pPr>
        <w:rPr>
          <w:b/>
          <w:lang w:val="en-GB"/>
        </w:rPr>
      </w:pPr>
      <w:r>
        <w:rPr>
          <w:b/>
          <w:lang w:val="en-GB"/>
        </w:rPr>
        <w:t xml:space="preserve">Proposal 1: NR should support intra-frequency dual connectivity. </w:t>
      </w:r>
    </w:p>
    <w:p w14:paraId="20B93F0A" w14:textId="76F555FA" w:rsidR="0019306E" w:rsidRPr="00BE4FED" w:rsidRDefault="0019306E" w:rsidP="0019306E">
      <w:pPr>
        <w:rPr>
          <w:b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37D898CF" w14:textId="230AE83D" w:rsidR="007A5A73" w:rsidRPr="00041ACB" w:rsidRDefault="000A006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asciiTheme="minorHAnsi" w:hAnsiTheme="minorHAnsi" w:cs="Times New Roman"/>
          <w:sz w:val="22"/>
          <w:lang w:eastAsia="ko-KR"/>
        </w:rPr>
      </w:pPr>
      <w:r w:rsidRPr="00041ACB">
        <w:rPr>
          <w:rFonts w:asciiTheme="minorHAnsi" w:hAnsiTheme="minorHAnsi" w:cs="Times New Roman"/>
          <w:sz w:val="22"/>
          <w:lang w:eastAsia="ko-KR"/>
        </w:rPr>
        <w:t>R2-1708880</w:t>
      </w:r>
      <w:r w:rsidR="005C1CAB" w:rsidRPr="00041ACB">
        <w:rPr>
          <w:rFonts w:asciiTheme="minorHAnsi" w:hAnsiTheme="minorHAnsi" w:cs="Times New Roman"/>
          <w:sz w:val="22"/>
          <w:lang w:eastAsia="ko-KR"/>
        </w:rPr>
        <w:t>, DC for intra-frequency mobility in NR</w:t>
      </w:r>
      <w:r w:rsidR="007A5A73" w:rsidRPr="00041ACB">
        <w:rPr>
          <w:rFonts w:asciiTheme="minorHAnsi" w:hAnsiTheme="minorHAnsi" w:cs="Times New Roman"/>
          <w:sz w:val="22"/>
          <w:lang w:eastAsia="ko-KR"/>
        </w:rPr>
        <w:t xml:space="preserve">, </w:t>
      </w:r>
      <w:r w:rsidR="005C1CAB" w:rsidRPr="00041ACB">
        <w:rPr>
          <w:rFonts w:asciiTheme="minorHAnsi" w:hAnsiTheme="minorHAnsi" w:cs="Times New Roman"/>
          <w:sz w:val="22"/>
          <w:lang w:eastAsia="ko-KR"/>
        </w:rPr>
        <w:t xml:space="preserve">Huawei, </w:t>
      </w:r>
      <w:proofErr w:type="spellStart"/>
      <w:r w:rsidR="005C1CAB" w:rsidRPr="00041ACB">
        <w:rPr>
          <w:rFonts w:asciiTheme="minorHAnsi" w:hAnsiTheme="minorHAnsi" w:cs="Times New Roman"/>
          <w:sz w:val="22"/>
          <w:lang w:eastAsia="ko-KR"/>
        </w:rPr>
        <w:t>HiSilicon</w:t>
      </w:r>
      <w:proofErr w:type="spellEnd"/>
      <w:r w:rsidR="005C1CAB" w:rsidRPr="00041ACB">
        <w:rPr>
          <w:rFonts w:asciiTheme="minorHAnsi" w:hAnsiTheme="minorHAnsi" w:cs="Times New Roman"/>
          <w:sz w:val="22"/>
          <w:lang w:eastAsia="ko-KR"/>
        </w:rPr>
        <w:t xml:space="preserve">, </w:t>
      </w:r>
      <w:r w:rsidR="007A5A73" w:rsidRPr="00041ACB">
        <w:rPr>
          <w:rFonts w:asciiTheme="minorHAnsi" w:hAnsiTheme="minorHAnsi" w:cs="Times New Roman"/>
          <w:sz w:val="22"/>
          <w:lang w:eastAsia="ko-KR"/>
        </w:rPr>
        <w:t>AT&amp;T</w:t>
      </w:r>
    </w:p>
    <w:p w14:paraId="4535856A" w14:textId="418E7033" w:rsidR="00E15D40" w:rsidRPr="00041ACB" w:rsidRDefault="00E15D40" w:rsidP="00E15D40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asciiTheme="minorHAnsi" w:eastAsia="Batang" w:hAnsiTheme="minorHAnsi" w:cs="Times New Roman"/>
          <w:sz w:val="22"/>
          <w:lang w:eastAsia="zh-CN"/>
        </w:rPr>
      </w:pPr>
      <w:r w:rsidRPr="00041ACB">
        <w:rPr>
          <w:rFonts w:asciiTheme="minorHAnsi" w:hAnsiTheme="minorHAnsi" w:cs="Times New Roman"/>
          <w:sz w:val="22"/>
          <w:lang w:eastAsia="ko-KR"/>
        </w:rPr>
        <w:t>R2-</w:t>
      </w:r>
      <w:r w:rsidRPr="00041ACB">
        <w:rPr>
          <w:rFonts w:asciiTheme="minorHAnsi" w:eastAsia="Batang" w:hAnsiTheme="minorHAnsi" w:cs="Times New Roman"/>
          <w:sz w:val="22"/>
          <w:lang w:eastAsia="zh-CN"/>
        </w:rPr>
        <w:t>1704487, Beam Failure (BF) and Radio Link Interruption (RLI), AT&amp;T</w:t>
      </w:r>
    </w:p>
    <w:p w14:paraId="161EE13D" w14:textId="067E8DCA" w:rsidR="00091745" w:rsidRPr="00041ACB" w:rsidRDefault="00AA3049" w:rsidP="00CA3E7B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asciiTheme="minorHAnsi" w:eastAsia="Batang" w:hAnsiTheme="minorHAnsi" w:cs="Times New Roman"/>
          <w:sz w:val="22"/>
          <w:lang w:eastAsia="zh-CN"/>
        </w:rPr>
      </w:pPr>
      <w:r w:rsidRPr="00041ACB">
        <w:rPr>
          <w:rFonts w:asciiTheme="minorHAnsi" w:eastAsia="SimSun" w:hAnsiTheme="minorHAnsi"/>
          <w:sz w:val="22"/>
          <w:lang w:eastAsia="zh-CN"/>
        </w:rPr>
        <w:t xml:space="preserve">R2-1706709, SgNB to </w:t>
      </w:r>
      <w:proofErr w:type="spellStart"/>
      <w:r w:rsidRPr="00041ACB">
        <w:rPr>
          <w:rFonts w:asciiTheme="minorHAnsi" w:eastAsia="SimSun" w:hAnsiTheme="minorHAnsi"/>
          <w:sz w:val="22"/>
          <w:lang w:eastAsia="zh-CN"/>
        </w:rPr>
        <w:t>MgNB</w:t>
      </w:r>
      <w:proofErr w:type="spellEnd"/>
      <w:r w:rsidRPr="00041ACB">
        <w:rPr>
          <w:rFonts w:asciiTheme="minorHAnsi" w:eastAsia="SimSun" w:hAnsiTheme="minorHAnsi"/>
          <w:sz w:val="22"/>
          <w:lang w:eastAsia="zh-CN"/>
        </w:rPr>
        <w:t xml:space="preserve"> reconfiguration for 0ms interruption handover, Huawei, </w:t>
      </w:r>
      <w:proofErr w:type="spellStart"/>
      <w:r w:rsidRPr="00041ACB">
        <w:rPr>
          <w:rFonts w:asciiTheme="minorHAnsi" w:eastAsia="SimSun" w:hAnsiTheme="minorHAnsi"/>
          <w:sz w:val="22"/>
          <w:lang w:eastAsia="zh-CN"/>
        </w:rPr>
        <w:t>HiSilicon</w:t>
      </w:r>
      <w:proofErr w:type="spellEnd"/>
    </w:p>
    <w:p w14:paraId="6DC4E0BD" w14:textId="7DB6D7BD" w:rsidR="0064521D" w:rsidRPr="00041ACB" w:rsidRDefault="0064521D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asciiTheme="minorHAnsi" w:hAnsiTheme="minorHAnsi" w:cs="Times New Roman"/>
          <w:sz w:val="22"/>
          <w:lang w:eastAsia="ko-KR"/>
        </w:rPr>
      </w:pPr>
      <w:r w:rsidRPr="00041ACB">
        <w:rPr>
          <w:rFonts w:asciiTheme="minorHAnsi" w:hAnsiTheme="minorHAnsi" w:cs="Times New Roman"/>
          <w:sz w:val="22"/>
          <w:lang w:eastAsia="ko-KR"/>
        </w:rPr>
        <w:t>RP-170831, Study on Integrated Access and Backhaul for NR, AT&amp;T, Qualcomm, Samsung.</w:t>
      </w:r>
    </w:p>
    <w:p w14:paraId="6A7F5C67" w14:textId="6A8A16E3" w:rsidR="00CA3E7B" w:rsidRPr="00041ACB" w:rsidRDefault="00CA3E7B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asciiTheme="minorHAnsi" w:hAnsiTheme="minorHAnsi" w:cs="Times New Roman"/>
          <w:sz w:val="22"/>
          <w:lang w:eastAsia="ko-KR"/>
        </w:rPr>
      </w:pPr>
      <w:r w:rsidRPr="00041ACB">
        <w:rPr>
          <w:rFonts w:asciiTheme="minorHAnsi" w:hAnsiTheme="minorHAnsi" w:cs="Times New Roman"/>
          <w:sz w:val="22"/>
          <w:lang w:eastAsia="ko-KR"/>
        </w:rPr>
        <w:t>R3-173235, Mechanism for fast retransmission of lost PDUs, Ericsson, AT&amp;T</w:t>
      </w:r>
    </w:p>
    <w:p w14:paraId="4E9CE72B" w14:textId="1E48D092" w:rsidR="00041ACB" w:rsidRPr="004B7B9D" w:rsidRDefault="00041ACB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asciiTheme="minorHAnsi" w:hAnsiTheme="minorHAnsi" w:cs="Times New Roman"/>
          <w:sz w:val="22"/>
          <w:lang w:eastAsia="ko-KR"/>
        </w:rPr>
      </w:pPr>
      <w:r w:rsidRPr="00041ACB">
        <w:rPr>
          <w:rFonts w:asciiTheme="minorHAnsi" w:hAnsiTheme="minorHAnsi" w:cs="Times New Roman"/>
          <w:sz w:val="22"/>
          <w:lang w:eastAsia="ko-KR"/>
        </w:rPr>
        <w:t xml:space="preserve">R2-1714129, </w:t>
      </w:r>
      <w:r w:rsidRPr="00041ACB">
        <w:rPr>
          <w:rFonts w:asciiTheme="minorHAnsi" w:hAnsiTheme="minorHAnsi" w:cs="Arial"/>
          <w:sz w:val="22"/>
        </w:rPr>
        <w:t>LS on TDM pattern coordination for single UL operation</w:t>
      </w:r>
    </w:p>
    <w:p w14:paraId="6A763D17" w14:textId="1870A8ED" w:rsidR="004B7B9D" w:rsidRPr="00041ACB" w:rsidRDefault="004B7B9D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asciiTheme="minorHAnsi" w:hAnsiTheme="minorHAnsi" w:cs="Times New Roman"/>
          <w:sz w:val="22"/>
          <w:lang w:eastAsia="ko-KR"/>
        </w:rPr>
      </w:pPr>
      <w:r>
        <w:rPr>
          <w:rFonts w:asciiTheme="minorHAnsi" w:hAnsiTheme="minorHAnsi" w:cs="Times New Roman"/>
          <w:sz w:val="22"/>
          <w:lang w:eastAsia="ko-KR"/>
        </w:rPr>
        <w:t>R2-1706451, Mobility enhancements for NR, Samsung</w:t>
      </w:r>
    </w:p>
    <w:p w14:paraId="6FD79AAD" w14:textId="77777777" w:rsidR="00E15D40" w:rsidRPr="00090F30" w:rsidRDefault="00E15D40" w:rsidP="00E15D40">
      <w:pPr>
        <w:pStyle w:val="2222"/>
        <w:spacing w:after="120" w:line="288" w:lineRule="auto"/>
        <w:ind w:left="357" w:firstLineChars="0" w:firstLine="0"/>
        <w:rPr>
          <w:rFonts w:eastAsia="Batang" w:cs="Times New Roman"/>
          <w:lang w:eastAsia="zh-CN"/>
        </w:rPr>
      </w:pP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A6385" w14:textId="77777777" w:rsidR="00336FED" w:rsidRDefault="00336FED" w:rsidP="00A03DF3">
      <w:pPr>
        <w:spacing w:after="0"/>
      </w:pPr>
      <w:r>
        <w:separator/>
      </w:r>
    </w:p>
  </w:endnote>
  <w:endnote w:type="continuationSeparator" w:id="0">
    <w:p w14:paraId="384FEEB2" w14:textId="77777777" w:rsidR="00336FED" w:rsidRDefault="00336FED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52129" w14:textId="522AB476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13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138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A22C5" w14:textId="77777777" w:rsidR="00336FED" w:rsidRDefault="00336FED" w:rsidP="00A03DF3">
      <w:pPr>
        <w:spacing w:after="0"/>
      </w:pPr>
      <w:r>
        <w:separator/>
      </w:r>
    </w:p>
  </w:footnote>
  <w:footnote w:type="continuationSeparator" w:id="0">
    <w:p w14:paraId="1A41EB33" w14:textId="77777777" w:rsidR="00336FED" w:rsidRDefault="00336FED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5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2"/>
  </w:num>
  <w:num w:numId="6">
    <w:abstractNumId w:val="7"/>
  </w:num>
  <w:num w:numId="7">
    <w:abstractNumId w:val="36"/>
  </w:num>
  <w:num w:numId="8">
    <w:abstractNumId w:val="20"/>
  </w:num>
  <w:num w:numId="9">
    <w:abstractNumId w:val="29"/>
  </w:num>
  <w:num w:numId="10">
    <w:abstractNumId w:val="3"/>
  </w:num>
  <w:num w:numId="11">
    <w:abstractNumId w:val="9"/>
  </w:num>
  <w:num w:numId="12">
    <w:abstractNumId w:val="28"/>
  </w:num>
  <w:num w:numId="13">
    <w:abstractNumId w:val="11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1"/>
  </w:num>
  <w:num w:numId="19">
    <w:abstractNumId w:val="4"/>
  </w:num>
  <w:num w:numId="20">
    <w:abstractNumId w:val="27"/>
  </w:num>
  <w:num w:numId="21">
    <w:abstractNumId w:val="16"/>
  </w:num>
  <w:num w:numId="22">
    <w:abstractNumId w:val="18"/>
  </w:num>
  <w:num w:numId="23">
    <w:abstractNumId w:val="25"/>
  </w:num>
  <w:num w:numId="24">
    <w:abstractNumId w:val="21"/>
  </w:num>
  <w:num w:numId="25">
    <w:abstractNumId w:val="15"/>
  </w:num>
  <w:num w:numId="26">
    <w:abstractNumId w:val="35"/>
  </w:num>
  <w:num w:numId="27">
    <w:abstractNumId w:val="8"/>
  </w:num>
  <w:num w:numId="28">
    <w:abstractNumId w:val="33"/>
  </w:num>
  <w:num w:numId="29">
    <w:abstractNumId w:val="26"/>
  </w:num>
  <w:num w:numId="30">
    <w:abstractNumId w:val="6"/>
  </w:num>
  <w:num w:numId="31">
    <w:abstractNumId w:val="22"/>
  </w:num>
  <w:num w:numId="32">
    <w:abstractNumId w:val="23"/>
  </w:num>
  <w:num w:numId="33">
    <w:abstractNumId w:val="32"/>
  </w:num>
  <w:num w:numId="34">
    <w:abstractNumId w:val="31"/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1622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1ACB"/>
    <w:rsid w:val="00043272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006B"/>
    <w:rsid w:val="000A1C3B"/>
    <w:rsid w:val="000A3623"/>
    <w:rsid w:val="000A3742"/>
    <w:rsid w:val="000A690F"/>
    <w:rsid w:val="000B4387"/>
    <w:rsid w:val="000B5342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70D6"/>
    <w:rsid w:val="000F71B4"/>
    <w:rsid w:val="001001EF"/>
    <w:rsid w:val="001026C3"/>
    <w:rsid w:val="00104F96"/>
    <w:rsid w:val="00105963"/>
    <w:rsid w:val="00107EBD"/>
    <w:rsid w:val="00111595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268BD"/>
    <w:rsid w:val="001324C6"/>
    <w:rsid w:val="00134857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D502E"/>
    <w:rsid w:val="001D7377"/>
    <w:rsid w:val="001E0FE1"/>
    <w:rsid w:val="001E7A26"/>
    <w:rsid w:val="001F0EBA"/>
    <w:rsid w:val="00206D78"/>
    <w:rsid w:val="00206DA2"/>
    <w:rsid w:val="0020778E"/>
    <w:rsid w:val="00207CDD"/>
    <w:rsid w:val="0021091C"/>
    <w:rsid w:val="00211B7F"/>
    <w:rsid w:val="00215D87"/>
    <w:rsid w:val="00216F0E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5740E"/>
    <w:rsid w:val="002632D5"/>
    <w:rsid w:val="002639F5"/>
    <w:rsid w:val="00264F59"/>
    <w:rsid w:val="0026628D"/>
    <w:rsid w:val="002665E9"/>
    <w:rsid w:val="00270E7D"/>
    <w:rsid w:val="00273449"/>
    <w:rsid w:val="00273B90"/>
    <w:rsid w:val="00276AAD"/>
    <w:rsid w:val="00280D6A"/>
    <w:rsid w:val="00282243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E53AE"/>
    <w:rsid w:val="002F0C46"/>
    <w:rsid w:val="002F1B33"/>
    <w:rsid w:val="002F3FC4"/>
    <w:rsid w:val="00301F11"/>
    <w:rsid w:val="00303721"/>
    <w:rsid w:val="00304012"/>
    <w:rsid w:val="00305BD0"/>
    <w:rsid w:val="0031220B"/>
    <w:rsid w:val="00312297"/>
    <w:rsid w:val="00316619"/>
    <w:rsid w:val="00320BD0"/>
    <w:rsid w:val="00323D1C"/>
    <w:rsid w:val="003246F3"/>
    <w:rsid w:val="003266DD"/>
    <w:rsid w:val="0033045D"/>
    <w:rsid w:val="00331DD7"/>
    <w:rsid w:val="00332CC0"/>
    <w:rsid w:val="003336FC"/>
    <w:rsid w:val="003346E4"/>
    <w:rsid w:val="00336FED"/>
    <w:rsid w:val="00337899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A79ED"/>
    <w:rsid w:val="003B28E2"/>
    <w:rsid w:val="003B4545"/>
    <w:rsid w:val="003B5826"/>
    <w:rsid w:val="003B5C49"/>
    <w:rsid w:val="003C04C9"/>
    <w:rsid w:val="003C0E79"/>
    <w:rsid w:val="003C7444"/>
    <w:rsid w:val="003D41DA"/>
    <w:rsid w:val="003D53F0"/>
    <w:rsid w:val="003D6E67"/>
    <w:rsid w:val="003D7039"/>
    <w:rsid w:val="003E3239"/>
    <w:rsid w:val="003E3522"/>
    <w:rsid w:val="003E6804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7A4A"/>
    <w:rsid w:val="00484322"/>
    <w:rsid w:val="00491CAF"/>
    <w:rsid w:val="00492AF8"/>
    <w:rsid w:val="004934E6"/>
    <w:rsid w:val="0049755C"/>
    <w:rsid w:val="004A5460"/>
    <w:rsid w:val="004A6EA1"/>
    <w:rsid w:val="004A7A57"/>
    <w:rsid w:val="004B1914"/>
    <w:rsid w:val="004B334F"/>
    <w:rsid w:val="004B53E3"/>
    <w:rsid w:val="004B761C"/>
    <w:rsid w:val="004B7973"/>
    <w:rsid w:val="004B7B9D"/>
    <w:rsid w:val="004C01AE"/>
    <w:rsid w:val="004C157C"/>
    <w:rsid w:val="004C5E1C"/>
    <w:rsid w:val="004C6E15"/>
    <w:rsid w:val="004D23C9"/>
    <w:rsid w:val="004D2D73"/>
    <w:rsid w:val="004D4847"/>
    <w:rsid w:val="004D5818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311C"/>
    <w:rsid w:val="00553FAD"/>
    <w:rsid w:val="0055425E"/>
    <w:rsid w:val="00554916"/>
    <w:rsid w:val="00557E3C"/>
    <w:rsid w:val="00566D2E"/>
    <w:rsid w:val="005672AD"/>
    <w:rsid w:val="0056776F"/>
    <w:rsid w:val="00570093"/>
    <w:rsid w:val="00572547"/>
    <w:rsid w:val="005745E3"/>
    <w:rsid w:val="00576219"/>
    <w:rsid w:val="00577765"/>
    <w:rsid w:val="0058635D"/>
    <w:rsid w:val="0058644D"/>
    <w:rsid w:val="0058748B"/>
    <w:rsid w:val="00590B51"/>
    <w:rsid w:val="00591605"/>
    <w:rsid w:val="00591F47"/>
    <w:rsid w:val="00594E1F"/>
    <w:rsid w:val="005A13B6"/>
    <w:rsid w:val="005B4A31"/>
    <w:rsid w:val="005C17F4"/>
    <w:rsid w:val="005C1BF7"/>
    <w:rsid w:val="005C1CAB"/>
    <w:rsid w:val="005C5F6F"/>
    <w:rsid w:val="005D4158"/>
    <w:rsid w:val="005D693B"/>
    <w:rsid w:val="005E303C"/>
    <w:rsid w:val="005E617B"/>
    <w:rsid w:val="005F2BEE"/>
    <w:rsid w:val="005F352C"/>
    <w:rsid w:val="005F49BE"/>
    <w:rsid w:val="005F78B3"/>
    <w:rsid w:val="006126DD"/>
    <w:rsid w:val="00614A69"/>
    <w:rsid w:val="0061677A"/>
    <w:rsid w:val="00616831"/>
    <w:rsid w:val="00620B9B"/>
    <w:rsid w:val="00624938"/>
    <w:rsid w:val="00624AFC"/>
    <w:rsid w:val="00624F5C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7991"/>
    <w:rsid w:val="00647AC9"/>
    <w:rsid w:val="00652B6D"/>
    <w:rsid w:val="00653B6D"/>
    <w:rsid w:val="00655A41"/>
    <w:rsid w:val="00655B30"/>
    <w:rsid w:val="0065608D"/>
    <w:rsid w:val="0066172B"/>
    <w:rsid w:val="006625D4"/>
    <w:rsid w:val="00662774"/>
    <w:rsid w:val="0067232E"/>
    <w:rsid w:val="00676C08"/>
    <w:rsid w:val="006774EA"/>
    <w:rsid w:val="00680B0F"/>
    <w:rsid w:val="00682E8A"/>
    <w:rsid w:val="00683F52"/>
    <w:rsid w:val="00684402"/>
    <w:rsid w:val="00690ECB"/>
    <w:rsid w:val="00692A94"/>
    <w:rsid w:val="006931F2"/>
    <w:rsid w:val="00697CB2"/>
    <w:rsid w:val="006B13A0"/>
    <w:rsid w:val="006D06BF"/>
    <w:rsid w:val="006D4F51"/>
    <w:rsid w:val="006D71C6"/>
    <w:rsid w:val="006E3876"/>
    <w:rsid w:val="006E5D2D"/>
    <w:rsid w:val="006F1DB7"/>
    <w:rsid w:val="00700F24"/>
    <w:rsid w:val="00701722"/>
    <w:rsid w:val="00701AC6"/>
    <w:rsid w:val="00701D4D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314F6"/>
    <w:rsid w:val="007354D0"/>
    <w:rsid w:val="007363D1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46E8"/>
    <w:rsid w:val="0076536B"/>
    <w:rsid w:val="00765500"/>
    <w:rsid w:val="00767F04"/>
    <w:rsid w:val="007712A1"/>
    <w:rsid w:val="0077540B"/>
    <w:rsid w:val="00775CDB"/>
    <w:rsid w:val="00777489"/>
    <w:rsid w:val="00780F90"/>
    <w:rsid w:val="007842E3"/>
    <w:rsid w:val="00785FC0"/>
    <w:rsid w:val="00787355"/>
    <w:rsid w:val="00787DC9"/>
    <w:rsid w:val="007933F1"/>
    <w:rsid w:val="00794BEE"/>
    <w:rsid w:val="00795D96"/>
    <w:rsid w:val="007A0713"/>
    <w:rsid w:val="007A4702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945"/>
    <w:rsid w:val="00805CD7"/>
    <w:rsid w:val="00806F34"/>
    <w:rsid w:val="00811A50"/>
    <w:rsid w:val="008124BF"/>
    <w:rsid w:val="008169EA"/>
    <w:rsid w:val="00816FB9"/>
    <w:rsid w:val="00817943"/>
    <w:rsid w:val="008236D0"/>
    <w:rsid w:val="008255CA"/>
    <w:rsid w:val="00825EC8"/>
    <w:rsid w:val="008307E3"/>
    <w:rsid w:val="00832D6D"/>
    <w:rsid w:val="00835340"/>
    <w:rsid w:val="00840100"/>
    <w:rsid w:val="00841233"/>
    <w:rsid w:val="00841386"/>
    <w:rsid w:val="00841D9F"/>
    <w:rsid w:val="00842CAE"/>
    <w:rsid w:val="00846200"/>
    <w:rsid w:val="00847215"/>
    <w:rsid w:val="0085091F"/>
    <w:rsid w:val="00853B77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4E1B"/>
    <w:rsid w:val="00896357"/>
    <w:rsid w:val="00896ED9"/>
    <w:rsid w:val="008A0593"/>
    <w:rsid w:val="008A1B5D"/>
    <w:rsid w:val="008A5CC4"/>
    <w:rsid w:val="008A7C64"/>
    <w:rsid w:val="008B2785"/>
    <w:rsid w:val="008B3683"/>
    <w:rsid w:val="008B4956"/>
    <w:rsid w:val="008C7323"/>
    <w:rsid w:val="008D04DC"/>
    <w:rsid w:val="008D098B"/>
    <w:rsid w:val="008D2A8E"/>
    <w:rsid w:val="008D5128"/>
    <w:rsid w:val="008E0C3B"/>
    <w:rsid w:val="008E1849"/>
    <w:rsid w:val="008E332B"/>
    <w:rsid w:val="008E4630"/>
    <w:rsid w:val="008E4A25"/>
    <w:rsid w:val="008E5AEC"/>
    <w:rsid w:val="008F028B"/>
    <w:rsid w:val="008F1068"/>
    <w:rsid w:val="008F4B86"/>
    <w:rsid w:val="009031D6"/>
    <w:rsid w:val="009060A4"/>
    <w:rsid w:val="00906F42"/>
    <w:rsid w:val="00907FBE"/>
    <w:rsid w:val="00913445"/>
    <w:rsid w:val="009153CC"/>
    <w:rsid w:val="0092002C"/>
    <w:rsid w:val="00920EB9"/>
    <w:rsid w:val="009218AC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4E2E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3FE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A0"/>
    <w:rsid w:val="00A50792"/>
    <w:rsid w:val="00A53254"/>
    <w:rsid w:val="00A57130"/>
    <w:rsid w:val="00A62AF6"/>
    <w:rsid w:val="00A62EBB"/>
    <w:rsid w:val="00A63D5B"/>
    <w:rsid w:val="00A63F79"/>
    <w:rsid w:val="00A65BAB"/>
    <w:rsid w:val="00A706A9"/>
    <w:rsid w:val="00A75D64"/>
    <w:rsid w:val="00A77589"/>
    <w:rsid w:val="00A7768F"/>
    <w:rsid w:val="00A96350"/>
    <w:rsid w:val="00AA02EB"/>
    <w:rsid w:val="00AA3049"/>
    <w:rsid w:val="00AA5ED1"/>
    <w:rsid w:val="00AA7889"/>
    <w:rsid w:val="00AB2709"/>
    <w:rsid w:val="00AB397A"/>
    <w:rsid w:val="00AD476B"/>
    <w:rsid w:val="00AE1C31"/>
    <w:rsid w:val="00AE2549"/>
    <w:rsid w:val="00AE5E33"/>
    <w:rsid w:val="00AE6679"/>
    <w:rsid w:val="00AE7311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289"/>
    <w:rsid w:val="00B70845"/>
    <w:rsid w:val="00B71769"/>
    <w:rsid w:val="00B75BAE"/>
    <w:rsid w:val="00B8083F"/>
    <w:rsid w:val="00B8315C"/>
    <w:rsid w:val="00B86C48"/>
    <w:rsid w:val="00B86D5E"/>
    <w:rsid w:val="00B86DDF"/>
    <w:rsid w:val="00B92C1A"/>
    <w:rsid w:val="00B940DF"/>
    <w:rsid w:val="00BA6439"/>
    <w:rsid w:val="00BB578B"/>
    <w:rsid w:val="00BB7132"/>
    <w:rsid w:val="00BC2552"/>
    <w:rsid w:val="00BC622B"/>
    <w:rsid w:val="00BC6517"/>
    <w:rsid w:val="00BC66E7"/>
    <w:rsid w:val="00BC7F02"/>
    <w:rsid w:val="00BD2690"/>
    <w:rsid w:val="00BD5423"/>
    <w:rsid w:val="00BE0B73"/>
    <w:rsid w:val="00BE119E"/>
    <w:rsid w:val="00BE2BF0"/>
    <w:rsid w:val="00BE4FED"/>
    <w:rsid w:val="00BF3706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5E94"/>
    <w:rsid w:val="00C871CD"/>
    <w:rsid w:val="00C90121"/>
    <w:rsid w:val="00C92614"/>
    <w:rsid w:val="00C939F2"/>
    <w:rsid w:val="00CA3E7B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51E5"/>
    <w:rsid w:val="00D01615"/>
    <w:rsid w:val="00D07A78"/>
    <w:rsid w:val="00D1087A"/>
    <w:rsid w:val="00D11AD9"/>
    <w:rsid w:val="00D11E75"/>
    <w:rsid w:val="00D21F62"/>
    <w:rsid w:val="00D25618"/>
    <w:rsid w:val="00D2655C"/>
    <w:rsid w:val="00D319AA"/>
    <w:rsid w:val="00D32790"/>
    <w:rsid w:val="00D378F2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0B6"/>
    <w:rsid w:val="00D679A2"/>
    <w:rsid w:val="00D70BDF"/>
    <w:rsid w:val="00D757D5"/>
    <w:rsid w:val="00D844CD"/>
    <w:rsid w:val="00D86C0A"/>
    <w:rsid w:val="00D86CDE"/>
    <w:rsid w:val="00D91B82"/>
    <w:rsid w:val="00D923F2"/>
    <w:rsid w:val="00DA1B9A"/>
    <w:rsid w:val="00DA53F3"/>
    <w:rsid w:val="00DA60BB"/>
    <w:rsid w:val="00DA7B6D"/>
    <w:rsid w:val="00DB32D0"/>
    <w:rsid w:val="00DB5706"/>
    <w:rsid w:val="00DB7753"/>
    <w:rsid w:val="00DC69F1"/>
    <w:rsid w:val="00DE093B"/>
    <w:rsid w:val="00DE4BE7"/>
    <w:rsid w:val="00DE5572"/>
    <w:rsid w:val="00DE796D"/>
    <w:rsid w:val="00DF364B"/>
    <w:rsid w:val="00E030D4"/>
    <w:rsid w:val="00E03787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47703"/>
    <w:rsid w:val="00E513A1"/>
    <w:rsid w:val="00E522FE"/>
    <w:rsid w:val="00E543B1"/>
    <w:rsid w:val="00E57FF6"/>
    <w:rsid w:val="00E6533C"/>
    <w:rsid w:val="00E6667E"/>
    <w:rsid w:val="00E72CE0"/>
    <w:rsid w:val="00E77AC4"/>
    <w:rsid w:val="00E77F83"/>
    <w:rsid w:val="00E80422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120E1"/>
    <w:rsid w:val="00F13188"/>
    <w:rsid w:val="00F13661"/>
    <w:rsid w:val="00F15B55"/>
    <w:rsid w:val="00F176BB"/>
    <w:rsid w:val="00F1781E"/>
    <w:rsid w:val="00F23797"/>
    <w:rsid w:val="00F249A4"/>
    <w:rsid w:val="00F307ED"/>
    <w:rsid w:val="00F31548"/>
    <w:rsid w:val="00F33E4A"/>
    <w:rsid w:val="00F35B9A"/>
    <w:rsid w:val="00F35C83"/>
    <w:rsid w:val="00F42D8E"/>
    <w:rsid w:val="00F46DA6"/>
    <w:rsid w:val="00F51112"/>
    <w:rsid w:val="00F53F7C"/>
    <w:rsid w:val="00F558E7"/>
    <w:rsid w:val="00F62D70"/>
    <w:rsid w:val="00F670FA"/>
    <w:rsid w:val="00F67A74"/>
    <w:rsid w:val="00F71D1D"/>
    <w:rsid w:val="00F818AF"/>
    <w:rsid w:val="00F8398C"/>
    <w:rsid w:val="00F83AE1"/>
    <w:rsid w:val="00F92065"/>
    <w:rsid w:val="00F93A5B"/>
    <w:rsid w:val="00F93AB4"/>
    <w:rsid w:val="00F93C84"/>
    <w:rsid w:val="00FB0A2A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B324F-9EA1-49F5-818C-23B8EA68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27</cp:revision>
  <dcterms:created xsi:type="dcterms:W3CDTF">2018-01-11T17:01:00Z</dcterms:created>
  <dcterms:modified xsi:type="dcterms:W3CDTF">2018-01-11T23:20:00Z</dcterms:modified>
</cp:coreProperties>
</file>